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sz w:val="24"/>
          <w:szCs w:val="24"/>
        </w:rPr>
      </w:pPr>
      <w:r>
        <w:rPr>
          <w:b/>
          <w:bCs/>
          <w:sz w:val="32"/>
          <w:szCs w:val="32"/>
        </w:rPr>
        <w:t xml:space="preserve">RELAT</w:t>
      </w:r>
      <w:r>
        <w:rPr>
          <w:b/>
          <w:bCs/>
          <w:sz w:val="32"/>
          <w:szCs w:val="32"/>
        </w:rPr>
        <w:t xml:space="preserve"> DE CAMPANYA</w:t>
      </w:r>
      <w:r>
        <w:rPr>
          <w:sz w:val="24"/>
          <w:szCs w:val="24"/>
        </w:rPr>
        <w:br/>
        <w:br/>
        <w:t xml:space="preserve">P</w:t>
      </w:r>
      <w:r>
        <w:rPr>
          <w:sz w:val="24"/>
          <w:szCs w:val="24"/>
        </w:rPr>
        <w:t xml:space="preserve">er a la immensa majoria de sol·licitants d'asil atrapats en tercers països, l'article 38 de la Llei d'Asil -que permet gestionar l'entrada legal a través de les ambaixades espanyoles- constitueix, de facto, l'única via regulada que els evita jugar-se la vi</w:t>
      </w:r>
      <w:r>
        <w:rPr>
          <w:sz w:val="24"/>
          <w:szCs w:val="24"/>
        </w:rPr>
        <w:t xml:space="preserve">da creuant la mar en pastera o saltant la tanca.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N</w:t>
      </w:r>
      <w:r>
        <w:rPr>
          <w:sz w:val="24"/>
          <w:szCs w:val="24"/>
        </w:rPr>
        <w:t xml:space="preserve">o obstant, aquesta única porta d'accés regular, aprovada l’any 2009, segueix sense desenvolupar-se de manera reglamentària. Tot i que el Tribunal Suprem ha confirmat que ha d'aplicar-se, no disposa de normes clares, ni de personal ni, sobretot, de voluntat</w:t>
      </w:r>
      <w:r>
        <w:rPr>
          <w:sz w:val="24"/>
          <w:szCs w:val="24"/>
        </w:rPr>
        <w:t xml:space="preserve"> política. Ambaixades ineficients, silencis administratius i contingents invisibles l’han convertit en un embut que obliga a persones molt vulnerables a malgastar un temps que no tenen.</w:t>
        <w:br/>
        <w:br/>
      </w:r>
      <w:r>
        <w:rPr>
          <w:sz w:val="24"/>
          <w:szCs w:val="24"/>
        </w:rPr>
        <w:t xml:space="preserve">“</w:t>
      </w:r>
      <w:r>
        <w:rPr>
          <w:sz w:val="24"/>
          <w:szCs w:val="24"/>
        </w:rPr>
        <w:t xml:space="preserve">El Camí Impossible” vol contribuir a la feina que fan les organitzacions i col·lectius en defensa del dret a migrar i a l’asil de les persones en moviment que busquen refugi a l’estat espanyol. El projecte té per objectiu el reconeixement de la necessitat </w:t>
      </w:r>
      <w:r>
        <w:rPr>
          <w:sz w:val="24"/>
          <w:szCs w:val="24"/>
        </w:rPr>
        <w:t xml:space="preserve">de Vies legals i segures, impulsant un canvi de percepció en la ciutadania i les institucions.</w:t>
        <w:br/>
        <w:br/>
      </w:r>
      <w:r>
        <w:rPr>
          <w:b/>
          <w:bCs/>
          <w:sz w:val="24"/>
          <w:szCs w:val="24"/>
        </w:rPr>
        <w:t xml:space="preserve">Navega pel webdoc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hyperlink r:id="rId8" w:tooltip="https://elcamiimpossible.quepo.org" w:history="1">
        <w:r>
          <w:rPr>
            <w:rStyle w:val="812"/>
            <w:color w:val="000000" w:themeColor="text1"/>
            <w:sz w:val="24"/>
            <w:szCs w:val="24"/>
          </w:rPr>
          <w:t xml:space="preserve">EL CAMÍ IMPOSSIBLE</w:t>
        </w:r>
      </w:hyperlink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Coneix el cas de </w:t>
      </w:r>
      <w:r>
        <w:rPr>
          <w:sz w:val="24"/>
          <w:szCs w:val="24"/>
          <w:highlight w:val="none"/>
        </w:rPr>
        <w:t xml:space="preserve">Rosine Macosso, una </w:t>
      </w:r>
      <w:r>
        <w:rPr>
          <w:sz w:val="24"/>
          <w:szCs w:val="24"/>
          <w:highlight w:val="none"/>
        </w:rPr>
        <w:t xml:space="preserve">dona congolesa en exili polític q</w:t>
      </w:r>
      <w:r>
        <w:rPr>
          <w:sz w:val="24"/>
          <w:szCs w:val="24"/>
          <w:highlight w:val="none"/>
        </w:rPr>
        <w:t xml:space="preserve">ue va morir mentre esperava resposta a la seva sol·licitud d'asil a Espanya. La pel·lícula “Rosine, morir esperant Europa” relata un dels casos que més visibilitza els obstacles plantejats tant a la recerca com al webdoc i que va obrir litigi estratègic so</w:t>
      </w:r>
      <w:r>
        <w:rPr>
          <w:sz w:val="24"/>
          <w:szCs w:val="24"/>
          <w:highlight w:val="none"/>
        </w:rPr>
        <w:t xml:space="preserve">bre l'article 38 de la Llei d'Asil. </w:t>
        <w:br/>
      </w:r>
      <w:r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br/>
        <w:br/>
      </w:r>
      <w:r>
        <w:rPr>
          <w:b/>
          <w:bCs/>
          <w:color w:val="000000" w:themeColor="text1"/>
          <w:sz w:val="24"/>
          <w:szCs w:val="24"/>
          <w:highlight w:val="none"/>
        </w:rPr>
        <w:t xml:space="preserve">M</w:t>
      </w:r>
      <w:r>
        <w:rPr>
          <w:b/>
          <w:bCs/>
          <w:color w:val="000000" w:themeColor="text1"/>
          <w:sz w:val="24"/>
          <w:szCs w:val="24"/>
          <w:highlight w:val="none"/>
        </w:rPr>
        <w:t xml:space="preserve">és informaci</w:t>
      </w:r>
      <w:r>
        <w:rPr>
          <w:b/>
          <w:bCs/>
          <w:color w:val="000000" w:themeColor="text1"/>
          <w:sz w:val="24"/>
          <w:szCs w:val="24"/>
          <w:highlight w:val="none"/>
        </w:rPr>
        <w:t xml:space="preserve">ó a</w:t>
      </w:r>
      <w:r>
        <w:rPr>
          <w:color w:val="000000" w:themeColor="text1"/>
          <w:sz w:val="24"/>
          <w:szCs w:val="24"/>
          <w:highlight w:val="none"/>
        </w:rPr>
        <w:t xml:space="preserve"> </w:t>
      </w:r>
      <w:r>
        <w:rPr>
          <w:color w:val="000000" w:themeColor="text1"/>
          <w:sz w:val="24"/>
          <w:szCs w:val="24"/>
          <w:highlight w:val="none"/>
        </w:rPr>
      </w:r>
      <w:hyperlink r:id="rId9" w:tooltip="https://quepo.org/rosine/" w:history="1">
        <w:r>
          <w:rPr>
            <w:rStyle w:val="812"/>
            <w:color w:val="000000" w:themeColor="text1"/>
            <w:sz w:val="24"/>
            <w:szCs w:val="24"/>
            <w:highlight w:val="none"/>
          </w:rPr>
          <w:t xml:space="preserve">ROSINE, MORIR ESPERANT EUROPA</w:t>
        </w:r>
      </w:hyperlink>
      <w:r>
        <w:rPr>
          <w:color w:val="000000" w:themeColor="text1"/>
          <w:sz w:val="24"/>
          <w:szCs w:val="24"/>
          <w:highlight w:val="none"/>
          <w:u w:val="singl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 w:line="288" w:lineRule="auto"/>
        <w:ind w:right="0" w:firstLine="0" w:left="0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 w:line="288" w:lineRule="auto"/>
        <w:ind w:right="0" w:firstLine="0" w:left="0"/>
        <w:rPr>
          <w:szCs w:val="24"/>
        </w:rPr>
      </w:pPr>
      <w:r/>
      <w:r>
        <w:rPr>
          <w:sz w:val="24"/>
          <w:szCs w:val="24"/>
          <w:highlight w:val="none"/>
        </w:rPr>
        <w:br/>
      </w:r>
      <w:r/>
      <w:r>
        <w:br/>
      </w:r>
      <w:r>
        <w:rPr>
          <w:b/>
          <w:bCs/>
          <w:i/>
          <w:iCs/>
          <w:sz w:val="32"/>
          <w:szCs w:val="32"/>
        </w:rPr>
        <w:t xml:space="preserve">Copys xarxes socials</w:t>
        <w:br/>
      </w:r>
      <w:r>
        <w:rPr>
          <w:b/>
          <w:bCs/>
          <w:i/>
          <w:iCs/>
        </w:rPr>
        <w:br/>
      </w:r>
      <w:r>
        <w:rPr>
          <w:rFonts w:ascii="Arial" w:hAnsi="Arial" w:eastAsia="Arial" w:cs="Arial"/>
          <w:color w:val="000000"/>
          <w:sz w:val="24"/>
          <w:szCs w:val="24"/>
          <w:u w:val="none"/>
        </w:rPr>
        <w:t xml:space="preserve">10.457 persones han mort intentant arribar a Espanya el 2024.</w:t>
      </w:r>
      <w:r/>
      <w:r>
        <w:rPr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 w:line="331" w:lineRule="auto"/>
        <w:ind w:right="0" w:firstLine="0" w:left="0"/>
        <w:rPr/>
      </w:pPr>
      <w:r>
        <w:rPr>
          <w:rFonts w:ascii="Arial" w:hAnsi="Arial" w:eastAsia="Arial" w:cs="Arial"/>
          <w:color w:val="000000"/>
          <w:sz w:val="24"/>
          <w:szCs w:val="24"/>
          <w:u w:val="none"/>
        </w:rPr>
        <w:t xml:space="preserve">Per què han de morir?</w:t>
        <w:br/>
        <w:br/>
      </w:r>
      <w:r>
        <w:rPr>
          <w:rFonts w:ascii="Arial" w:hAnsi="Arial" w:eastAsia="Arial" w:cs="Arial"/>
          <w:color w:val="000000"/>
          <w:sz w:val="24"/>
          <w:szCs w:val="24"/>
          <w:u w:val="none"/>
        </w:rPr>
        <w:t xml:space="preserve">L’Article 38 de la Llei d’Asil és, sobre el paper, l’única via legal i segura per sol·licitar asil des de les ambaixades i consolats espanyols. Una via que podria evitar el pas per rutes mortals. Però, a la pràctica, aquesta via està bloquejada: per manca </w:t>
      </w:r>
      <w:r>
        <w:rPr>
          <w:rFonts w:ascii="Arial" w:hAnsi="Arial" w:eastAsia="Arial" w:cs="Arial"/>
          <w:color w:val="000000"/>
          <w:sz w:val="24"/>
          <w:szCs w:val="24"/>
          <w:u w:val="none"/>
        </w:rPr>
        <w:t xml:space="preserve">de reglament, per silencis administratius, inacció de les ambaixades i absència de voluntat política.</w:t>
      </w:r>
      <w:r/>
      <w:r/>
    </w:p>
    <w:p>
      <w:pPr>
        <w:pBdr/>
        <w:spacing/>
        <w:ind/>
        <w:rPr/>
      </w:pPr>
      <w:r>
        <w:rPr>
          <w:sz w:val="24"/>
          <w:szCs w:val="24"/>
          <w:highlight w:val="none"/>
        </w:rPr>
      </w:r>
      <w:r>
        <w:br/>
      </w:r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3">
    <w:name w:val="Title Char"/>
    <w:link w:val="672"/>
    <w:uiPriority w:val="10"/>
    <w:pPr>
      <w:pBdr/>
      <w:spacing/>
      <w:ind/>
    </w:pPr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5">
    <w:name w:val="Subtitle Char"/>
    <w:link w:val="674"/>
    <w:uiPriority w:val="11"/>
    <w:pPr>
      <w:pBdr/>
      <w:spacing/>
      <w:ind/>
    </w:pPr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pBdr/>
      <w:spacing/>
      <w:ind w:right="720" w:left="720"/>
    </w:pPr>
    <w:rPr>
      <w:i/>
    </w:rPr>
  </w:style>
  <w:style w:type="character" w:styleId="677">
    <w:name w:val="Quote Char"/>
    <w:link w:val="676"/>
    <w:uiPriority w:val="29"/>
    <w:pPr>
      <w:pBdr/>
      <w:spacing/>
      <w:ind/>
    </w:pPr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79">
    <w:name w:val="Intense Quote Char"/>
    <w:link w:val="678"/>
    <w:uiPriority w:val="30"/>
    <w:pPr>
      <w:pBdr/>
      <w:spacing/>
      <w:ind/>
    </w:pPr>
    <w:rPr>
      <w:i/>
    </w:rPr>
  </w:style>
  <w:style w:type="paragraph" w:styleId="680">
    <w:name w:val="Header"/>
    <w:basedOn w:val="830"/>
    <w:link w:val="68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1">
    <w:name w:val="Header Char"/>
    <w:link w:val="680"/>
    <w:uiPriority w:val="99"/>
    <w:pPr>
      <w:pBdr/>
      <w:spacing/>
      <w:ind/>
    </w:pPr>
  </w:style>
  <w:style w:type="paragraph" w:styleId="682">
    <w:name w:val="Footer"/>
    <w:basedOn w:val="830"/>
    <w:link w:val="68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3">
    <w:name w:val="Footer Char"/>
    <w:link w:val="682"/>
    <w:uiPriority w:val="99"/>
    <w:pPr>
      <w:pBdr/>
      <w:spacing/>
      <w:ind/>
    </w:pPr>
  </w:style>
  <w:style w:type="paragraph" w:styleId="684">
    <w:name w:val="Caption"/>
    <w:basedOn w:val="830"/>
    <w:next w:val="830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  <w:pPr>
      <w:pBdr/>
      <w:spacing/>
      <w:ind/>
    </w:pPr>
  </w:style>
  <w:style w:type="table" w:styleId="686">
    <w:name w:val="Table Grid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Table Grid Light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Plain Table 1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Plain Table 2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4 - Accent 1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 - Accent 2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3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5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6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5 Dark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4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5 Dark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Bordered &amp; 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Bordered &amp; 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2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4">
    <w:name w:val="Footnote Text Char"/>
    <w:link w:val="813"/>
    <w:uiPriority w:val="99"/>
    <w:pPr>
      <w:pBdr/>
      <w:spacing/>
      <w:ind/>
    </w:pPr>
    <w:rPr>
      <w:sz w:val="18"/>
    </w:rPr>
  </w:style>
  <w:style w:type="character" w:styleId="815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7">
    <w:name w:val="Endnote Text Char"/>
    <w:link w:val="816"/>
    <w:uiPriority w:val="99"/>
    <w:pPr>
      <w:pBdr/>
      <w:spacing/>
      <w:ind/>
    </w:pPr>
    <w:rPr>
      <w:sz w:val="20"/>
    </w:rPr>
  </w:style>
  <w:style w:type="character" w:styleId="818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pBdr/>
      <w:spacing w:after="57"/>
      <w:ind w:right="0" w:firstLine="0" w:left="0"/>
    </w:pPr>
  </w:style>
  <w:style w:type="paragraph" w:styleId="820">
    <w:name w:val="toc 2"/>
    <w:basedOn w:val="830"/>
    <w:next w:val="830"/>
    <w:uiPriority w:val="39"/>
    <w:unhideWhenUsed/>
    <w:pPr>
      <w:pBdr/>
      <w:spacing w:after="57"/>
      <w:ind w:right="0" w:firstLine="0" w:left="283"/>
    </w:pPr>
  </w:style>
  <w:style w:type="paragraph" w:styleId="821">
    <w:name w:val="toc 3"/>
    <w:basedOn w:val="830"/>
    <w:next w:val="830"/>
    <w:uiPriority w:val="39"/>
    <w:unhideWhenUsed/>
    <w:pPr>
      <w:pBdr/>
      <w:spacing w:after="57"/>
      <w:ind w:right="0" w:firstLine="0" w:left="567"/>
    </w:pPr>
  </w:style>
  <w:style w:type="paragraph" w:styleId="822">
    <w:name w:val="toc 4"/>
    <w:basedOn w:val="830"/>
    <w:next w:val="830"/>
    <w:uiPriority w:val="39"/>
    <w:unhideWhenUsed/>
    <w:pPr>
      <w:pBdr/>
      <w:spacing w:after="57"/>
      <w:ind w:right="0" w:firstLine="0" w:left="850"/>
    </w:pPr>
  </w:style>
  <w:style w:type="paragraph" w:styleId="823">
    <w:name w:val="toc 5"/>
    <w:basedOn w:val="830"/>
    <w:next w:val="830"/>
    <w:uiPriority w:val="39"/>
    <w:unhideWhenUsed/>
    <w:pPr>
      <w:pBdr/>
      <w:spacing w:after="57"/>
      <w:ind w:right="0" w:firstLine="0" w:left="1134"/>
    </w:pPr>
  </w:style>
  <w:style w:type="paragraph" w:styleId="824">
    <w:name w:val="toc 6"/>
    <w:basedOn w:val="830"/>
    <w:next w:val="830"/>
    <w:uiPriority w:val="39"/>
    <w:unhideWhenUsed/>
    <w:pPr>
      <w:pBdr/>
      <w:spacing w:after="57"/>
      <w:ind w:right="0" w:firstLine="0" w:left="1417"/>
    </w:pPr>
  </w:style>
  <w:style w:type="paragraph" w:styleId="825">
    <w:name w:val="toc 7"/>
    <w:basedOn w:val="830"/>
    <w:next w:val="830"/>
    <w:uiPriority w:val="39"/>
    <w:unhideWhenUsed/>
    <w:pPr>
      <w:pBdr/>
      <w:spacing w:after="57"/>
      <w:ind w:right="0" w:firstLine="0" w:left="1701"/>
    </w:pPr>
  </w:style>
  <w:style w:type="paragraph" w:styleId="826">
    <w:name w:val="toc 8"/>
    <w:basedOn w:val="830"/>
    <w:next w:val="830"/>
    <w:uiPriority w:val="39"/>
    <w:unhideWhenUsed/>
    <w:pPr>
      <w:pBdr/>
      <w:spacing w:after="57"/>
      <w:ind w:right="0" w:firstLine="0" w:left="1984"/>
    </w:pPr>
  </w:style>
  <w:style w:type="paragraph" w:styleId="827">
    <w:name w:val="toc 9"/>
    <w:basedOn w:val="830"/>
    <w:next w:val="830"/>
    <w:uiPriority w:val="39"/>
    <w:unhideWhenUsed/>
    <w:pPr>
      <w:pBdr/>
      <w:spacing w:after="57"/>
      <w:ind w:right="0" w:firstLine="0" w:left="2268"/>
    </w:pPr>
  </w:style>
  <w:style w:type="paragraph" w:styleId="828">
    <w:name w:val="TOC Heading"/>
    <w:uiPriority w:val="39"/>
    <w:unhideWhenUsed/>
    <w:pPr>
      <w:pBdr/>
      <w:spacing/>
      <w:ind/>
    </w:pPr>
  </w:style>
  <w:style w:type="paragraph" w:styleId="829">
    <w:name w:val="table of figures"/>
    <w:basedOn w:val="830"/>
    <w:next w:val="830"/>
    <w:uiPriority w:val="99"/>
    <w:unhideWhenUsed/>
    <w:pPr>
      <w:pBdr/>
      <w:spacing w:after="0" w:afterAutospacing="0"/>
      <w:ind/>
    </w:pPr>
  </w:style>
  <w:style w:type="paragraph" w:styleId="830" w:default="1">
    <w:name w:val="Normal"/>
    <w:qFormat/>
    <w:pPr>
      <w:pBdr/>
      <w:spacing/>
      <w:ind/>
    </w:pPr>
  </w:style>
  <w:style w:type="table" w:styleId="83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2" w:default="1">
    <w:name w:val="No List"/>
    <w:uiPriority w:val="99"/>
    <w:semiHidden/>
    <w:unhideWhenUsed/>
    <w:pPr>
      <w:pBdr/>
      <w:spacing/>
      <w:ind/>
    </w:pPr>
  </w:style>
  <w:style w:type="paragraph" w:styleId="833">
    <w:name w:val="No Spacing"/>
    <w:basedOn w:val="830"/>
    <w:uiPriority w:val="1"/>
    <w:qFormat/>
    <w:pPr>
      <w:pBdr/>
      <w:spacing w:after="0" w:line="240" w:lineRule="auto"/>
      <w:ind/>
    </w:pPr>
  </w:style>
  <w:style w:type="paragraph" w:styleId="834">
    <w:name w:val="List Paragraph"/>
    <w:basedOn w:val="830"/>
    <w:uiPriority w:val="34"/>
    <w:qFormat/>
    <w:pPr>
      <w:pBdr/>
      <w:spacing/>
      <w:ind w:left="720"/>
      <w:contextualSpacing w:val="true"/>
    </w:pPr>
  </w:style>
  <w:style w:type="character" w:styleId="835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elcamiimpossible.quepo.org" TargetMode="External"/><Relationship Id="rId9" Type="http://schemas.openxmlformats.org/officeDocument/2006/relationships/hyperlink" Target="https://quepo.org/rosine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Berta</cp:lastModifiedBy>
  <cp:revision>3</cp:revision>
  <dcterms:modified xsi:type="dcterms:W3CDTF">2025-10-17T09:19:14Z</dcterms:modified>
</cp:coreProperties>
</file>